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C0C2" w14:textId="77777777" w:rsidR="007D42D6" w:rsidRPr="0066624F" w:rsidRDefault="007D42D6" w:rsidP="00417F3B">
      <w:pPr>
        <w:ind w:left="426" w:right="566"/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9E632E" w:rsidR="007D42D6" w:rsidRPr="008B7E68" w:rsidRDefault="007D42D6" w:rsidP="00417F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sz w:val="48"/>
          <w:szCs w:val="48"/>
        </w:rPr>
      </w:pPr>
      <w:r w:rsidRPr="008B7E68">
        <w:rPr>
          <w:rFonts w:ascii="Times New Roman" w:hAnsi="Times New Roman" w:cs="Times New Roman"/>
          <w:sz w:val="48"/>
          <w:szCs w:val="48"/>
        </w:rPr>
        <w:t>TRIBUNALE di GENOVA</w:t>
      </w:r>
    </w:p>
    <w:p w14:paraId="30282162" w14:textId="77777777" w:rsidR="008B7E68" w:rsidRDefault="007D42D6" w:rsidP="00417F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</w:t>
      </w:r>
    </w:p>
    <w:p w14:paraId="124FC703" w14:textId="199275C4" w:rsidR="008B7E68" w:rsidRDefault="008B7E68" w:rsidP="00417F3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426" w:right="56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Procedure esecutive e concorsuali</w:t>
      </w:r>
    </w:p>
    <w:p w14:paraId="6EEF7822" w14:textId="15571607" w:rsidR="007D42D6" w:rsidRPr="0066624F" w:rsidRDefault="008B7E68" w:rsidP="00417F3B">
      <w:pPr>
        <w:spacing w:after="120" w:line="240" w:lineRule="auto"/>
        <w:ind w:left="426" w:right="566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7D42D6"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E09AAA2" w14:textId="77777777" w:rsidR="004B7DB9" w:rsidRDefault="007D42D6" w:rsidP="00417F3B">
      <w:pPr>
        <w:spacing w:after="0" w:line="240" w:lineRule="auto"/>
        <w:ind w:left="426"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4B7DB9">
        <w:rPr>
          <w:rFonts w:ascii="Times New Roman" w:hAnsi="Times New Roman" w:cs="Times New Roman"/>
          <w:b/>
          <w:i/>
          <w:sz w:val="28"/>
          <w:szCs w:val="28"/>
        </w:rPr>
        <w:t>l Sig. Presidente del Tribunale</w:t>
      </w:r>
    </w:p>
    <w:p w14:paraId="1EF8E16A" w14:textId="4AA676E4" w:rsidR="004B7DB9" w:rsidRDefault="004B7DB9" w:rsidP="00417F3B">
      <w:pPr>
        <w:spacing w:after="0" w:line="240" w:lineRule="auto"/>
        <w:ind w:left="426"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Al Dirigente Cancel</w:t>
      </w:r>
      <w:r w:rsidR="00392052">
        <w:rPr>
          <w:rFonts w:ascii="Times New Roman" w:hAnsi="Times New Roman" w:cs="Times New Roman"/>
          <w:b/>
          <w:i/>
          <w:sz w:val="28"/>
          <w:szCs w:val="28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</w:rPr>
        <w:t>eria Sez. VII</w:t>
      </w:r>
    </w:p>
    <w:p w14:paraId="00EE4CCA" w14:textId="0AD35935" w:rsidR="00392052" w:rsidRDefault="004F4F66" w:rsidP="00417F3B">
      <w:pPr>
        <w:spacing w:after="0" w:line="240" w:lineRule="auto"/>
        <w:ind w:left="426"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Dr.ssa Ricci - </w:t>
      </w:r>
      <w:r w:rsidR="00392052">
        <w:rPr>
          <w:rFonts w:ascii="Times New Roman" w:hAnsi="Times New Roman" w:cs="Times New Roman"/>
          <w:b/>
          <w:i/>
          <w:sz w:val="28"/>
          <w:szCs w:val="28"/>
        </w:rPr>
        <w:t>Sig.ra D</w:t>
      </w:r>
      <w:r>
        <w:rPr>
          <w:rFonts w:ascii="Times New Roman" w:hAnsi="Times New Roman" w:cs="Times New Roman"/>
          <w:b/>
          <w:i/>
          <w:sz w:val="28"/>
          <w:szCs w:val="28"/>
        </w:rPr>
        <w:t>e Benedetti</w:t>
      </w:r>
    </w:p>
    <w:p w14:paraId="44605ED4" w14:textId="2FA1C0C1" w:rsidR="007D42D6" w:rsidRPr="0066624F" w:rsidRDefault="007D42D6" w:rsidP="00417F3B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73647CCA" w14:textId="77777777" w:rsidR="00392052" w:rsidRDefault="007D42D6" w:rsidP="00417F3B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</w:t>
      </w:r>
    </w:p>
    <w:p w14:paraId="4022BAE4" w14:textId="5D0BE10E" w:rsidR="007D42D6" w:rsidRDefault="007D42D6" w:rsidP="00417F3B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 xml:space="preserve"> Togati</w:t>
      </w:r>
      <w:r w:rsidR="00392052">
        <w:rPr>
          <w:rFonts w:ascii="Times New Roman" w:hAnsi="Times New Roman" w:cs="Times New Roman"/>
          <w:sz w:val="28"/>
          <w:szCs w:val="28"/>
        </w:rPr>
        <w:t xml:space="preserve"> e Onorari</w:t>
      </w:r>
    </w:p>
    <w:p w14:paraId="0F68886F" w14:textId="33E9740D" w:rsidR="007D42D6" w:rsidRPr="0066624F" w:rsidRDefault="007D42D6" w:rsidP="00417F3B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C43A6D7" w14:textId="2E947349" w:rsidR="0064451A" w:rsidRDefault="0064451A" w:rsidP="00417F3B">
      <w:pPr>
        <w:spacing w:line="240" w:lineRule="auto"/>
        <w:ind w:left="426" w:right="566"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Genova, </w:t>
      </w:r>
      <w:r w:rsidR="001652E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914B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652EE">
        <w:rPr>
          <w:rFonts w:ascii="Times New Roman" w:hAnsi="Times New Roman" w:cs="Times New Roman"/>
          <w:b/>
          <w:i/>
          <w:sz w:val="24"/>
          <w:szCs w:val="24"/>
        </w:rPr>
        <w:t xml:space="preserve"> maggio </w:t>
      </w:r>
      <w:r>
        <w:rPr>
          <w:rFonts w:ascii="Times New Roman" w:hAnsi="Times New Roman" w:cs="Times New Roman"/>
          <w:b/>
          <w:i/>
          <w:sz w:val="24"/>
          <w:szCs w:val="24"/>
        </w:rPr>
        <w:t>2025</w:t>
      </w:r>
    </w:p>
    <w:p w14:paraId="217BAA9E" w14:textId="188763F6" w:rsidR="000448DC" w:rsidRPr="00366A48" w:rsidRDefault="000448DC" w:rsidP="00417F3B">
      <w:pPr>
        <w:spacing w:line="240" w:lineRule="auto"/>
        <w:ind w:left="426" w:right="566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39042F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64451A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</w:p>
    <w:p w14:paraId="57F66EC0" w14:textId="5198CEF5" w:rsidR="004B7DB9" w:rsidRDefault="004B7DB9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Vista la </w:t>
      </w:r>
      <w:r w:rsidR="001652EE">
        <w:rPr>
          <w:rFonts w:ascii="Times New Roman" w:hAnsi="Times New Roman" w:cs="Times New Roman"/>
          <w:sz w:val="28"/>
          <w:szCs w:val="28"/>
        </w:rPr>
        <w:t>Variazione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68">
        <w:rPr>
          <w:rFonts w:ascii="Times New Roman" w:hAnsi="Times New Roman" w:cs="Times New Roman"/>
          <w:sz w:val="28"/>
          <w:szCs w:val="28"/>
        </w:rPr>
        <w:t>Tabellare</w:t>
      </w:r>
      <w:r>
        <w:rPr>
          <w:rFonts w:ascii="Times New Roman" w:hAnsi="Times New Roman" w:cs="Times New Roman"/>
          <w:sz w:val="28"/>
          <w:szCs w:val="28"/>
        </w:rPr>
        <w:t xml:space="preserve"> Urgente n. 29 del 17 ottobre 2024, che prevedeva l’</w:t>
      </w:r>
      <w:r w:rsidR="001652EE">
        <w:rPr>
          <w:rFonts w:ascii="Times New Roman" w:hAnsi="Times New Roman" w:cs="Times New Roman"/>
          <w:sz w:val="28"/>
          <w:szCs w:val="28"/>
        </w:rPr>
        <w:t>avvicendamento</w:t>
      </w:r>
      <w:r>
        <w:rPr>
          <w:rFonts w:ascii="Times New Roman" w:hAnsi="Times New Roman" w:cs="Times New Roman"/>
          <w:sz w:val="28"/>
          <w:szCs w:val="28"/>
        </w:rPr>
        <w:t xml:space="preserve"> dei dott. BRACCIALINI e BALBA nelle funzioni di giudice dell’esecuzione nelle espropriazioni mobiliari e pignoramenti presso terzi a seguito del venir meno di parte della componente </w:t>
      </w:r>
      <w:r w:rsidR="001652EE">
        <w:rPr>
          <w:rFonts w:ascii="Times New Roman" w:hAnsi="Times New Roman" w:cs="Times New Roman"/>
          <w:sz w:val="28"/>
          <w:szCs w:val="28"/>
        </w:rPr>
        <w:t>onoraria</w:t>
      </w:r>
      <w:r>
        <w:rPr>
          <w:rFonts w:ascii="Times New Roman" w:hAnsi="Times New Roman" w:cs="Times New Roman"/>
          <w:sz w:val="28"/>
          <w:szCs w:val="28"/>
        </w:rPr>
        <w:t xml:space="preserve"> dell’organico di Sezione, cui in precedenza era</w:t>
      </w:r>
      <w:r w:rsidR="00DD2E55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EE">
        <w:rPr>
          <w:rFonts w:ascii="Times New Roman" w:hAnsi="Times New Roman" w:cs="Times New Roman"/>
          <w:sz w:val="28"/>
          <w:szCs w:val="28"/>
        </w:rPr>
        <w:t>affidat</w:t>
      </w:r>
      <w:r w:rsidR="00DD2E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in via esclusiva t</w:t>
      </w:r>
      <w:r w:rsidR="00DD2E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li procedimenti;</w:t>
      </w:r>
    </w:p>
    <w:p w14:paraId="2403B3CA" w14:textId="58C98E05" w:rsidR="004B7DB9" w:rsidRDefault="004B7DB9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Considerato l’imminente passaggio dell’avv. CONTI al Giudice di </w:t>
      </w:r>
      <w:r w:rsidR="001652EE">
        <w:rPr>
          <w:rFonts w:ascii="Times New Roman" w:hAnsi="Times New Roman" w:cs="Times New Roman"/>
          <w:sz w:val="28"/>
          <w:szCs w:val="28"/>
        </w:rPr>
        <w:t>Pace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68">
        <w:rPr>
          <w:rFonts w:ascii="Times New Roman" w:hAnsi="Times New Roman" w:cs="Times New Roman"/>
          <w:sz w:val="28"/>
          <w:szCs w:val="28"/>
        </w:rPr>
        <w:t>cittadino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A68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 xml:space="preserve"> programma per il 3.6 p.v., con conseguente impossibilità che detto GOP possa </w:t>
      </w:r>
      <w:r w:rsidR="001652EE">
        <w:rPr>
          <w:rFonts w:ascii="Times New Roman" w:hAnsi="Times New Roman" w:cs="Times New Roman"/>
          <w:sz w:val="28"/>
          <w:szCs w:val="28"/>
        </w:rPr>
        <w:t>continuare</w:t>
      </w:r>
      <w:r>
        <w:rPr>
          <w:rFonts w:ascii="Times New Roman" w:hAnsi="Times New Roman" w:cs="Times New Roman"/>
          <w:sz w:val="28"/>
          <w:szCs w:val="28"/>
        </w:rPr>
        <w:t xml:space="preserve"> a gestire per delega i procedimenti in </w:t>
      </w:r>
      <w:r w:rsidR="001652EE">
        <w:rPr>
          <w:rFonts w:ascii="Times New Roman" w:hAnsi="Times New Roman" w:cs="Times New Roman"/>
          <w:sz w:val="28"/>
          <w:szCs w:val="28"/>
        </w:rPr>
        <w:t>precedenza</w:t>
      </w:r>
      <w:r>
        <w:rPr>
          <w:rFonts w:ascii="Times New Roman" w:hAnsi="Times New Roman" w:cs="Times New Roman"/>
          <w:sz w:val="28"/>
          <w:szCs w:val="28"/>
        </w:rPr>
        <w:t xml:space="preserve"> affidatile</w:t>
      </w:r>
      <w:r w:rsidR="00DD2E55">
        <w:rPr>
          <w:rFonts w:ascii="Times New Roman" w:hAnsi="Times New Roman" w:cs="Times New Roman"/>
          <w:sz w:val="28"/>
          <w:szCs w:val="28"/>
        </w:rPr>
        <w:t xml:space="preserve"> in base alla citata VTU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4FF69" w14:textId="475A2EC2" w:rsidR="004B7DB9" w:rsidRDefault="004B7DB9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Considerata la </w:t>
      </w:r>
      <w:r w:rsidR="001652EE">
        <w:rPr>
          <w:rFonts w:ascii="Times New Roman" w:hAnsi="Times New Roman" w:cs="Times New Roman"/>
          <w:sz w:val="28"/>
          <w:szCs w:val="28"/>
        </w:rPr>
        <w:t>disponibilità</w:t>
      </w:r>
      <w:r>
        <w:rPr>
          <w:rFonts w:ascii="Times New Roman" w:hAnsi="Times New Roman" w:cs="Times New Roman"/>
          <w:sz w:val="28"/>
          <w:szCs w:val="28"/>
        </w:rPr>
        <w:t xml:space="preserve"> del dr. BALBA a farsi carico di tal</w:t>
      </w:r>
      <w:r w:rsidR="00DD2E5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EE">
        <w:rPr>
          <w:rFonts w:ascii="Times New Roman" w:hAnsi="Times New Roman" w:cs="Times New Roman"/>
          <w:sz w:val="28"/>
          <w:szCs w:val="28"/>
        </w:rPr>
        <w:t>ultimi</w:t>
      </w:r>
      <w:r>
        <w:rPr>
          <w:rFonts w:ascii="Times New Roman" w:hAnsi="Times New Roman" w:cs="Times New Roman"/>
          <w:sz w:val="28"/>
          <w:szCs w:val="28"/>
        </w:rPr>
        <w:t xml:space="preserve"> procedimenti, che lo scrivente che non può trattenere in quanto già impegnato nell’esaurimento del massimo numero di </w:t>
      </w:r>
      <w:r w:rsidR="001652EE">
        <w:rPr>
          <w:rFonts w:ascii="Times New Roman" w:hAnsi="Times New Roman" w:cs="Times New Roman"/>
          <w:sz w:val="28"/>
          <w:szCs w:val="28"/>
        </w:rPr>
        <w:t>procedimenti</w:t>
      </w:r>
      <w:r>
        <w:rPr>
          <w:rFonts w:ascii="Times New Roman" w:hAnsi="Times New Roman" w:cs="Times New Roman"/>
          <w:sz w:val="28"/>
          <w:szCs w:val="28"/>
        </w:rPr>
        <w:t xml:space="preserve"> pendenti sui suoi 4 ruoli, in ragione del suo </w:t>
      </w:r>
      <w:r w:rsidR="001652EE">
        <w:rPr>
          <w:rFonts w:ascii="Times New Roman" w:hAnsi="Times New Roman" w:cs="Times New Roman"/>
          <w:sz w:val="28"/>
          <w:szCs w:val="28"/>
        </w:rPr>
        <w:t>pensionamento previsto</w:t>
      </w:r>
      <w:r>
        <w:rPr>
          <w:rFonts w:ascii="Times New Roman" w:hAnsi="Times New Roman" w:cs="Times New Roman"/>
          <w:sz w:val="28"/>
          <w:szCs w:val="28"/>
        </w:rPr>
        <w:t xml:space="preserve"> per il 30.9 p.v.;</w:t>
      </w:r>
    </w:p>
    <w:p w14:paraId="69972D5E" w14:textId="59EB5AAE" w:rsidR="004B7DB9" w:rsidRDefault="004B7DB9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Rilevato che il </w:t>
      </w:r>
      <w:r w:rsidR="001652EE">
        <w:rPr>
          <w:rFonts w:ascii="Times New Roman" w:hAnsi="Times New Roman" w:cs="Times New Roman"/>
          <w:sz w:val="28"/>
          <w:szCs w:val="28"/>
        </w:rPr>
        <w:t>passaggio</w:t>
      </w:r>
      <w:r>
        <w:rPr>
          <w:rFonts w:ascii="Times New Roman" w:hAnsi="Times New Roman" w:cs="Times New Roman"/>
          <w:sz w:val="28"/>
          <w:szCs w:val="28"/>
        </w:rPr>
        <w:t xml:space="preserve"> dell’avv. </w:t>
      </w:r>
      <w:r w:rsidR="001652EE">
        <w:rPr>
          <w:rFonts w:ascii="Times New Roman" w:hAnsi="Times New Roman" w:cs="Times New Roman"/>
          <w:sz w:val="28"/>
          <w:szCs w:val="28"/>
        </w:rPr>
        <w:t>G</w:t>
      </w:r>
      <w:r w:rsidR="002E0AC1">
        <w:rPr>
          <w:rFonts w:ascii="Times New Roman" w:hAnsi="Times New Roman" w:cs="Times New Roman"/>
          <w:sz w:val="28"/>
          <w:szCs w:val="28"/>
        </w:rPr>
        <w:t>ASTALDO</w:t>
      </w:r>
      <w:r>
        <w:rPr>
          <w:rFonts w:ascii="Times New Roman" w:hAnsi="Times New Roman" w:cs="Times New Roman"/>
          <w:sz w:val="28"/>
          <w:szCs w:val="28"/>
        </w:rPr>
        <w:t xml:space="preserve">, GOP confermato,  al regime a tempo definito rende difficoltosa la possibilità che tale giudice possa diminuire la sua attuale pendenza mantenendo la </w:t>
      </w:r>
      <w:r w:rsidR="001652EE">
        <w:rPr>
          <w:rFonts w:ascii="Times New Roman" w:hAnsi="Times New Roman" w:cs="Times New Roman"/>
          <w:sz w:val="28"/>
          <w:szCs w:val="28"/>
        </w:rPr>
        <w:t>medesima</w:t>
      </w:r>
      <w:r>
        <w:rPr>
          <w:rFonts w:ascii="Times New Roman" w:hAnsi="Times New Roman" w:cs="Times New Roman"/>
          <w:sz w:val="28"/>
          <w:szCs w:val="28"/>
        </w:rPr>
        <w:t xml:space="preserve"> quota di assegnazione odierna: per cui si rende </w:t>
      </w:r>
      <w:r w:rsidR="001652EE">
        <w:rPr>
          <w:rFonts w:ascii="Times New Roman" w:hAnsi="Times New Roman" w:cs="Times New Roman"/>
          <w:sz w:val="28"/>
          <w:szCs w:val="28"/>
        </w:rPr>
        <w:t>necessaria</w:t>
      </w:r>
      <w:r>
        <w:rPr>
          <w:rFonts w:ascii="Times New Roman" w:hAnsi="Times New Roman" w:cs="Times New Roman"/>
          <w:sz w:val="28"/>
          <w:szCs w:val="28"/>
        </w:rPr>
        <w:t xml:space="preserve"> una sospensione temporanea delle </w:t>
      </w:r>
      <w:r w:rsidR="001652EE">
        <w:rPr>
          <w:rFonts w:ascii="Times New Roman" w:hAnsi="Times New Roman" w:cs="Times New Roman"/>
          <w:sz w:val="28"/>
          <w:szCs w:val="28"/>
        </w:rPr>
        <w:t>assegnazioni</w:t>
      </w:r>
      <w:r>
        <w:rPr>
          <w:rFonts w:ascii="Times New Roman" w:hAnsi="Times New Roman" w:cs="Times New Roman"/>
          <w:sz w:val="28"/>
          <w:szCs w:val="28"/>
        </w:rPr>
        <w:t xml:space="preserve"> per consentire l’abbattimento di una parte di </w:t>
      </w:r>
      <w:r w:rsidR="001652EE">
        <w:rPr>
          <w:rFonts w:ascii="Times New Roman" w:hAnsi="Times New Roman" w:cs="Times New Roman"/>
          <w:sz w:val="28"/>
          <w:szCs w:val="28"/>
        </w:rPr>
        <w:t>arretrato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B46143" w14:textId="00FD35FF" w:rsidR="004B7DB9" w:rsidRDefault="004B7DB9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Considerata la disponibilità del dr. BALBA, che ha </w:t>
      </w:r>
      <w:r w:rsidR="001652EE">
        <w:rPr>
          <w:rFonts w:ascii="Times New Roman" w:hAnsi="Times New Roman" w:cs="Times New Roman"/>
          <w:sz w:val="28"/>
          <w:szCs w:val="28"/>
        </w:rPr>
        <w:t>trattato</w:t>
      </w:r>
      <w:r>
        <w:rPr>
          <w:rFonts w:ascii="Times New Roman" w:hAnsi="Times New Roman" w:cs="Times New Roman"/>
          <w:sz w:val="28"/>
          <w:szCs w:val="28"/>
        </w:rPr>
        <w:t xml:space="preserve"> in passato per diversi anni la materia presso altro Foro acquisendo un’invidiabile esperienza lavorativa nel comparto considerato, ad acquisire </w:t>
      </w:r>
      <w:r w:rsidR="00A8404E">
        <w:rPr>
          <w:rFonts w:ascii="Times New Roman" w:hAnsi="Times New Roman" w:cs="Times New Roman"/>
          <w:sz w:val="28"/>
          <w:szCs w:val="28"/>
        </w:rPr>
        <w:t xml:space="preserve">per un periodo </w:t>
      </w:r>
      <w:r w:rsidR="00544223">
        <w:rPr>
          <w:rFonts w:ascii="Times New Roman" w:hAnsi="Times New Roman" w:cs="Times New Roman"/>
          <w:sz w:val="28"/>
          <w:szCs w:val="28"/>
        </w:rPr>
        <w:t xml:space="preserve">temporaneo </w:t>
      </w:r>
      <w:r>
        <w:rPr>
          <w:rFonts w:ascii="Times New Roman" w:hAnsi="Times New Roman" w:cs="Times New Roman"/>
          <w:sz w:val="28"/>
          <w:szCs w:val="28"/>
        </w:rPr>
        <w:t xml:space="preserve">la titolarità dei procedimenti che </w:t>
      </w:r>
      <w:r w:rsidR="001652EE">
        <w:rPr>
          <w:rFonts w:ascii="Times New Roman" w:hAnsi="Times New Roman" w:cs="Times New Roman"/>
          <w:sz w:val="28"/>
          <w:szCs w:val="28"/>
        </w:rPr>
        <w:t>non possono</w:t>
      </w:r>
      <w:r>
        <w:rPr>
          <w:rFonts w:ascii="Times New Roman" w:hAnsi="Times New Roman" w:cs="Times New Roman"/>
          <w:sz w:val="28"/>
          <w:szCs w:val="28"/>
        </w:rPr>
        <w:t xml:space="preserve"> più essere assegnati al GOP a tempo definito, in modo da evitare che nelle more del necessario</w:t>
      </w:r>
      <w:r w:rsidR="00BC50F1">
        <w:rPr>
          <w:rFonts w:ascii="Times New Roman" w:hAnsi="Times New Roman" w:cs="Times New Roman"/>
          <w:sz w:val="28"/>
          <w:szCs w:val="28"/>
        </w:rPr>
        <w:t xml:space="preserve"> potenziamento</w:t>
      </w:r>
      <w:r>
        <w:rPr>
          <w:rFonts w:ascii="Times New Roman" w:hAnsi="Times New Roman" w:cs="Times New Roman"/>
          <w:sz w:val="28"/>
          <w:szCs w:val="28"/>
        </w:rPr>
        <w:t xml:space="preserve"> della componente onoraria della Sezione – </w:t>
      </w:r>
      <w:r w:rsidRPr="00544223">
        <w:rPr>
          <w:rFonts w:ascii="Times New Roman" w:hAnsi="Times New Roman" w:cs="Times New Roman"/>
          <w:i/>
          <w:iCs/>
          <w:sz w:val="28"/>
          <w:szCs w:val="28"/>
        </w:rPr>
        <w:t xml:space="preserve">già richiesto con </w:t>
      </w:r>
      <w:r w:rsidRPr="0054422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comunicazione </w:t>
      </w:r>
      <w:r w:rsidR="00544223">
        <w:rPr>
          <w:rFonts w:ascii="Times New Roman" w:hAnsi="Times New Roman" w:cs="Times New Roman"/>
          <w:i/>
          <w:iCs/>
          <w:sz w:val="28"/>
          <w:szCs w:val="28"/>
        </w:rPr>
        <w:t xml:space="preserve">urgente </w:t>
      </w:r>
      <w:r w:rsidR="00BC50F1" w:rsidRPr="00544223">
        <w:rPr>
          <w:rFonts w:ascii="Times New Roman" w:hAnsi="Times New Roman" w:cs="Times New Roman"/>
          <w:i/>
          <w:iCs/>
          <w:sz w:val="28"/>
          <w:szCs w:val="28"/>
        </w:rPr>
        <w:t>trasmessa</w:t>
      </w:r>
      <w:r w:rsidRPr="00544223">
        <w:rPr>
          <w:rFonts w:ascii="Times New Roman" w:hAnsi="Times New Roman" w:cs="Times New Roman"/>
          <w:i/>
          <w:iCs/>
          <w:sz w:val="28"/>
          <w:szCs w:val="28"/>
        </w:rPr>
        <w:t xml:space="preserve"> in pari data al  Presidente del Tribunale</w:t>
      </w:r>
      <w:r>
        <w:rPr>
          <w:rFonts w:ascii="Times New Roman" w:hAnsi="Times New Roman" w:cs="Times New Roman"/>
          <w:sz w:val="28"/>
          <w:szCs w:val="28"/>
        </w:rPr>
        <w:t xml:space="preserve"> – si determini un allungamento dei tempi distributivi e </w:t>
      </w:r>
      <w:r w:rsidR="002B12DB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>arretrato di EM-PPT che non solo andrebbe a penalizzare le fasce creditorie deboli, che da tali procedure derivano le risorse finanziari</w:t>
      </w:r>
      <w:r w:rsidR="002B12D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pe</w:t>
      </w:r>
      <w:r w:rsidR="002B12D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0F1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 xml:space="preserve"> sostentamento; ma che potrebbe</w:t>
      </w:r>
      <w:r w:rsidR="002B12DB">
        <w:rPr>
          <w:rFonts w:ascii="Times New Roman" w:hAnsi="Times New Roman" w:cs="Times New Roman"/>
          <w:sz w:val="28"/>
          <w:szCs w:val="28"/>
        </w:rPr>
        <w:t>ro</w:t>
      </w:r>
      <w:r>
        <w:rPr>
          <w:rFonts w:ascii="Times New Roman" w:hAnsi="Times New Roman" w:cs="Times New Roman"/>
          <w:sz w:val="28"/>
          <w:szCs w:val="28"/>
        </w:rPr>
        <w:t xml:space="preserve"> determinare un arretrato poi </w:t>
      </w:r>
      <w:r w:rsidR="00BC50F1">
        <w:rPr>
          <w:rFonts w:ascii="Times New Roman" w:hAnsi="Times New Roman" w:cs="Times New Roman"/>
          <w:sz w:val="28"/>
          <w:szCs w:val="28"/>
        </w:rPr>
        <w:t>difficilmente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A68">
        <w:rPr>
          <w:rFonts w:ascii="Times New Roman" w:hAnsi="Times New Roman" w:cs="Times New Roman"/>
          <w:sz w:val="28"/>
          <w:szCs w:val="28"/>
        </w:rPr>
        <w:t>recuperabile</w:t>
      </w:r>
      <w:r>
        <w:rPr>
          <w:rFonts w:ascii="Times New Roman" w:hAnsi="Times New Roman" w:cs="Times New Roman"/>
          <w:sz w:val="28"/>
          <w:szCs w:val="28"/>
        </w:rPr>
        <w:t xml:space="preserve">, se non a prezzo di aumentare la componente togata a presidio delle EM e PPT, con conseguente pregiudizio delle </w:t>
      </w:r>
      <w:r w:rsidR="00BC50F1">
        <w:rPr>
          <w:rFonts w:ascii="Times New Roman" w:hAnsi="Times New Roman" w:cs="Times New Roman"/>
          <w:sz w:val="28"/>
          <w:szCs w:val="28"/>
        </w:rPr>
        <w:t>espropriazioni</w:t>
      </w:r>
      <w:r>
        <w:rPr>
          <w:rFonts w:ascii="Times New Roman" w:hAnsi="Times New Roman" w:cs="Times New Roman"/>
          <w:sz w:val="28"/>
          <w:szCs w:val="28"/>
        </w:rPr>
        <w:t xml:space="preserve"> “maggiori”</w:t>
      </w:r>
      <w:r w:rsidR="00FC24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concorsuali e immobiliari</w:t>
      </w:r>
      <w:r w:rsidR="00FC24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che pure non ammettono  di essere trascurate</w:t>
      </w:r>
      <w:r w:rsidR="00193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nella visione di una Sezione operante qual “polmone finanziario” del Tribunale</w:t>
      </w:r>
      <w:r w:rsidR="001933D1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momento di effettiva attuazione dei diritti riconosciuti nei ti</w:t>
      </w:r>
      <w:r w:rsidR="001933D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oli emessi dai magistrati della cognizione</w:t>
      </w:r>
      <w:r w:rsidR="007815E6">
        <w:rPr>
          <w:rFonts w:ascii="Times New Roman" w:hAnsi="Times New Roman" w:cs="Times New Roman"/>
          <w:sz w:val="28"/>
          <w:szCs w:val="28"/>
        </w:rPr>
        <w:t>;</w:t>
      </w:r>
    </w:p>
    <w:p w14:paraId="73DC6E63" w14:textId="1D1287FF" w:rsidR="007815E6" w:rsidRDefault="007815E6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Ritenuto di dover </w:t>
      </w:r>
      <w:r w:rsidR="00151BDF">
        <w:rPr>
          <w:rFonts w:ascii="Times New Roman" w:hAnsi="Times New Roman" w:cs="Times New Roman"/>
          <w:sz w:val="28"/>
          <w:szCs w:val="28"/>
        </w:rPr>
        <w:t>prevedere una riduzione temporanea del</w:t>
      </w:r>
      <w:r w:rsidR="00B42A8A">
        <w:rPr>
          <w:rFonts w:ascii="Times New Roman" w:hAnsi="Times New Roman" w:cs="Times New Roman"/>
          <w:sz w:val="28"/>
          <w:szCs w:val="28"/>
        </w:rPr>
        <w:t>le</w:t>
      </w:r>
      <w:r w:rsidR="00151BDF">
        <w:rPr>
          <w:rFonts w:ascii="Times New Roman" w:hAnsi="Times New Roman" w:cs="Times New Roman"/>
          <w:sz w:val="28"/>
          <w:szCs w:val="28"/>
        </w:rPr>
        <w:t xml:space="preserve"> nuove assegnazioni al dr. BALBA per consentirgli di fi</w:t>
      </w:r>
      <w:r w:rsidR="00FC24A7">
        <w:rPr>
          <w:rFonts w:ascii="Times New Roman" w:hAnsi="Times New Roman" w:cs="Times New Roman"/>
          <w:sz w:val="28"/>
          <w:szCs w:val="28"/>
        </w:rPr>
        <w:t>s</w:t>
      </w:r>
      <w:r w:rsidR="00151BDF">
        <w:rPr>
          <w:rFonts w:ascii="Times New Roman" w:hAnsi="Times New Roman" w:cs="Times New Roman"/>
          <w:sz w:val="28"/>
          <w:szCs w:val="28"/>
        </w:rPr>
        <w:t xml:space="preserve">sare ed esaurire i procedimenti EM-PPT </w:t>
      </w:r>
      <w:r w:rsidR="009C3DBB">
        <w:rPr>
          <w:rFonts w:ascii="Times New Roman" w:hAnsi="Times New Roman" w:cs="Times New Roman"/>
          <w:sz w:val="28"/>
          <w:szCs w:val="28"/>
        </w:rPr>
        <w:t>così assegnati e considerato che la sua maggiore pendenza in ques</w:t>
      </w:r>
      <w:r w:rsidR="00B42A8A">
        <w:rPr>
          <w:rFonts w:ascii="Times New Roman" w:hAnsi="Times New Roman" w:cs="Times New Roman"/>
          <w:sz w:val="28"/>
          <w:szCs w:val="28"/>
        </w:rPr>
        <w:t>t</w:t>
      </w:r>
      <w:r w:rsidR="009C3DBB">
        <w:rPr>
          <w:rFonts w:ascii="Times New Roman" w:hAnsi="Times New Roman" w:cs="Times New Roman"/>
          <w:sz w:val="28"/>
          <w:szCs w:val="28"/>
        </w:rPr>
        <w:t xml:space="preserve">o momento </w:t>
      </w:r>
      <w:r w:rsidR="00B42A8A">
        <w:rPr>
          <w:rFonts w:ascii="Times New Roman" w:hAnsi="Times New Roman" w:cs="Times New Roman"/>
          <w:sz w:val="28"/>
          <w:szCs w:val="28"/>
        </w:rPr>
        <w:t>si concentra nel</w:t>
      </w:r>
      <w:r w:rsidR="009C3DBB">
        <w:rPr>
          <w:rFonts w:ascii="Times New Roman" w:hAnsi="Times New Roman" w:cs="Times New Roman"/>
          <w:sz w:val="28"/>
          <w:szCs w:val="28"/>
        </w:rPr>
        <w:t xml:space="preserve">le procedure concorsuali: per cui è in tale comparto </w:t>
      </w:r>
      <w:r w:rsidR="006251E1">
        <w:rPr>
          <w:rFonts w:ascii="Times New Roman" w:hAnsi="Times New Roman" w:cs="Times New Roman"/>
          <w:sz w:val="28"/>
          <w:szCs w:val="28"/>
        </w:rPr>
        <w:t>che, nelle more del</w:t>
      </w:r>
      <w:r w:rsidR="00B42A8A">
        <w:rPr>
          <w:rFonts w:ascii="Times New Roman" w:hAnsi="Times New Roman" w:cs="Times New Roman"/>
          <w:sz w:val="28"/>
          <w:szCs w:val="28"/>
        </w:rPr>
        <w:t>le</w:t>
      </w:r>
      <w:r w:rsidR="006251E1">
        <w:rPr>
          <w:rFonts w:ascii="Times New Roman" w:hAnsi="Times New Roman" w:cs="Times New Roman"/>
          <w:sz w:val="28"/>
          <w:szCs w:val="28"/>
        </w:rPr>
        <w:t xml:space="preserve"> decisi</w:t>
      </w:r>
      <w:r w:rsidR="00B42A8A">
        <w:rPr>
          <w:rFonts w:ascii="Times New Roman" w:hAnsi="Times New Roman" w:cs="Times New Roman"/>
          <w:sz w:val="28"/>
          <w:szCs w:val="28"/>
        </w:rPr>
        <w:t>o</w:t>
      </w:r>
      <w:r w:rsidR="006251E1">
        <w:rPr>
          <w:rFonts w:ascii="Times New Roman" w:hAnsi="Times New Roman" w:cs="Times New Roman"/>
          <w:sz w:val="28"/>
          <w:szCs w:val="28"/>
        </w:rPr>
        <w:t>ni della Presidenz</w:t>
      </w:r>
      <w:r w:rsidR="006E2355">
        <w:rPr>
          <w:rFonts w:ascii="Times New Roman" w:hAnsi="Times New Roman" w:cs="Times New Roman"/>
          <w:sz w:val="28"/>
          <w:szCs w:val="28"/>
        </w:rPr>
        <w:t>a sul necessario potenziamento della Sezione</w:t>
      </w:r>
      <w:r w:rsidR="006251E1">
        <w:rPr>
          <w:rFonts w:ascii="Times New Roman" w:hAnsi="Times New Roman" w:cs="Times New Roman"/>
          <w:sz w:val="28"/>
          <w:szCs w:val="28"/>
        </w:rPr>
        <w:t xml:space="preserve">, </w:t>
      </w:r>
      <w:r w:rsidR="00E16F2D">
        <w:rPr>
          <w:rFonts w:ascii="Times New Roman" w:hAnsi="Times New Roman" w:cs="Times New Roman"/>
          <w:sz w:val="28"/>
          <w:szCs w:val="28"/>
        </w:rPr>
        <w:t xml:space="preserve">va operata una riduzione del </w:t>
      </w:r>
      <w:r w:rsidR="008D5AA6">
        <w:rPr>
          <w:rFonts w:ascii="Times New Roman" w:hAnsi="Times New Roman" w:cs="Times New Roman"/>
          <w:sz w:val="28"/>
          <w:szCs w:val="28"/>
        </w:rPr>
        <w:t xml:space="preserve">20% </w:t>
      </w:r>
      <w:r w:rsidR="004E1601">
        <w:rPr>
          <w:rFonts w:ascii="Times New Roman" w:hAnsi="Times New Roman" w:cs="Times New Roman"/>
          <w:sz w:val="28"/>
          <w:szCs w:val="28"/>
        </w:rPr>
        <w:t>fino a tut</w:t>
      </w:r>
      <w:r w:rsidR="00B42A8A">
        <w:rPr>
          <w:rFonts w:ascii="Times New Roman" w:hAnsi="Times New Roman" w:cs="Times New Roman"/>
          <w:sz w:val="28"/>
          <w:szCs w:val="28"/>
        </w:rPr>
        <w:t>t</w:t>
      </w:r>
      <w:r w:rsidR="004E1601">
        <w:rPr>
          <w:rFonts w:ascii="Times New Roman" w:hAnsi="Times New Roman" w:cs="Times New Roman"/>
          <w:sz w:val="28"/>
          <w:szCs w:val="28"/>
        </w:rPr>
        <w:t>o il 30.9.25</w:t>
      </w:r>
      <w:r w:rsidR="0039042F">
        <w:rPr>
          <w:rFonts w:ascii="Times New Roman" w:hAnsi="Times New Roman" w:cs="Times New Roman"/>
          <w:sz w:val="28"/>
          <w:szCs w:val="28"/>
        </w:rPr>
        <w:t>;</w:t>
      </w:r>
    </w:p>
    <w:p w14:paraId="46608140" w14:textId="10178D9E" w:rsidR="0039042F" w:rsidRDefault="0039042F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Ritenuto di dover estendere il</w:t>
      </w:r>
      <w:r w:rsidR="00333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periodo di parziale esonero previsto nella D.O. n. 5/2025</w:t>
      </w:r>
      <w:r w:rsidR="000C7EC1">
        <w:rPr>
          <w:rFonts w:ascii="Times New Roman" w:hAnsi="Times New Roman" w:cs="Times New Roman"/>
          <w:sz w:val="28"/>
          <w:szCs w:val="28"/>
        </w:rPr>
        <w:t xml:space="preserve"> per </w:t>
      </w:r>
      <w:r w:rsidR="00333786">
        <w:rPr>
          <w:rFonts w:ascii="Times New Roman" w:hAnsi="Times New Roman" w:cs="Times New Roman"/>
          <w:sz w:val="28"/>
          <w:szCs w:val="28"/>
        </w:rPr>
        <w:t>il dr.</w:t>
      </w:r>
      <w:r w:rsidR="00F914BE">
        <w:rPr>
          <w:rFonts w:ascii="Times New Roman" w:hAnsi="Times New Roman" w:cs="Times New Roman"/>
          <w:sz w:val="28"/>
          <w:szCs w:val="28"/>
        </w:rPr>
        <w:t xml:space="preserve"> </w:t>
      </w:r>
      <w:r w:rsidR="00333786">
        <w:rPr>
          <w:rFonts w:ascii="Times New Roman" w:hAnsi="Times New Roman" w:cs="Times New Roman"/>
          <w:sz w:val="28"/>
          <w:szCs w:val="28"/>
        </w:rPr>
        <w:t xml:space="preserve">SPERA per </w:t>
      </w:r>
      <w:r w:rsidR="000C7EC1">
        <w:rPr>
          <w:rFonts w:ascii="Times New Roman" w:hAnsi="Times New Roman" w:cs="Times New Roman"/>
          <w:sz w:val="28"/>
          <w:szCs w:val="28"/>
        </w:rPr>
        <w:t xml:space="preserve">la ragione  che nel periodo feriale è previsto minore afflusso di nuove procedure </w:t>
      </w:r>
      <w:r w:rsidR="00BC0AFA">
        <w:rPr>
          <w:rFonts w:ascii="Times New Roman" w:hAnsi="Times New Roman" w:cs="Times New Roman"/>
          <w:sz w:val="28"/>
          <w:szCs w:val="28"/>
        </w:rPr>
        <w:t xml:space="preserve">immobiliari </w:t>
      </w:r>
      <w:r w:rsidR="000C7EC1">
        <w:rPr>
          <w:rFonts w:ascii="Times New Roman" w:hAnsi="Times New Roman" w:cs="Times New Roman"/>
          <w:sz w:val="28"/>
          <w:szCs w:val="28"/>
        </w:rPr>
        <w:t xml:space="preserve">e </w:t>
      </w:r>
      <w:r w:rsidR="00A15A44">
        <w:rPr>
          <w:rFonts w:ascii="Times New Roman" w:hAnsi="Times New Roman" w:cs="Times New Roman"/>
          <w:sz w:val="28"/>
          <w:szCs w:val="28"/>
        </w:rPr>
        <w:t>la riduzi</w:t>
      </w:r>
      <w:r w:rsidR="00BC0AFA">
        <w:rPr>
          <w:rFonts w:ascii="Times New Roman" w:hAnsi="Times New Roman" w:cs="Times New Roman"/>
          <w:sz w:val="28"/>
          <w:szCs w:val="28"/>
        </w:rPr>
        <w:t>o</w:t>
      </w:r>
      <w:r w:rsidR="00A15A44">
        <w:rPr>
          <w:rFonts w:ascii="Times New Roman" w:hAnsi="Times New Roman" w:cs="Times New Roman"/>
          <w:sz w:val="28"/>
          <w:szCs w:val="28"/>
        </w:rPr>
        <w:t xml:space="preserve">ne della pendenza è viceversa di estrema utilità in quanto </w:t>
      </w:r>
      <w:r w:rsidR="00BC0AFA">
        <w:rPr>
          <w:rFonts w:ascii="Times New Roman" w:hAnsi="Times New Roman" w:cs="Times New Roman"/>
          <w:sz w:val="28"/>
          <w:szCs w:val="28"/>
        </w:rPr>
        <w:t xml:space="preserve">il collega sarà </w:t>
      </w:r>
      <w:r w:rsidR="00A15A44">
        <w:rPr>
          <w:rFonts w:ascii="Times New Roman" w:hAnsi="Times New Roman" w:cs="Times New Roman"/>
          <w:sz w:val="28"/>
          <w:szCs w:val="28"/>
        </w:rPr>
        <w:t>probabile des</w:t>
      </w:r>
      <w:r w:rsidR="00BC0AFA">
        <w:rPr>
          <w:rFonts w:ascii="Times New Roman" w:hAnsi="Times New Roman" w:cs="Times New Roman"/>
          <w:sz w:val="28"/>
          <w:szCs w:val="28"/>
        </w:rPr>
        <w:t>t</w:t>
      </w:r>
      <w:r w:rsidR="00A15A44">
        <w:rPr>
          <w:rFonts w:ascii="Times New Roman" w:hAnsi="Times New Roman" w:cs="Times New Roman"/>
          <w:sz w:val="28"/>
          <w:szCs w:val="28"/>
        </w:rPr>
        <w:t>inatario di</w:t>
      </w:r>
      <w:r w:rsidR="00BC0AFA">
        <w:rPr>
          <w:rFonts w:ascii="Times New Roman" w:hAnsi="Times New Roman" w:cs="Times New Roman"/>
          <w:sz w:val="28"/>
          <w:szCs w:val="28"/>
        </w:rPr>
        <w:t xml:space="preserve"> </w:t>
      </w:r>
      <w:r w:rsidR="00A15A44">
        <w:rPr>
          <w:rFonts w:ascii="Times New Roman" w:hAnsi="Times New Roman" w:cs="Times New Roman"/>
          <w:sz w:val="28"/>
          <w:szCs w:val="28"/>
        </w:rPr>
        <w:t xml:space="preserve">una parte apprezzabile </w:t>
      </w:r>
      <w:r w:rsidR="00333786">
        <w:rPr>
          <w:rFonts w:ascii="Times New Roman" w:hAnsi="Times New Roman" w:cs="Times New Roman"/>
          <w:sz w:val="28"/>
          <w:szCs w:val="28"/>
        </w:rPr>
        <w:t>del ruolo concorsuale dello scrivente alla cessazione dal rapporto di impiego,</w:t>
      </w:r>
    </w:p>
    <w:p w14:paraId="0E0439AF" w14:textId="77777777" w:rsidR="004B7DB9" w:rsidRDefault="004B7DB9" w:rsidP="00417F3B">
      <w:pPr>
        <w:spacing w:after="0" w:line="240" w:lineRule="auto"/>
        <w:ind w:left="426" w:right="56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P.Q.M.</w:t>
      </w:r>
    </w:p>
    <w:p w14:paraId="5325A918" w14:textId="382E8B79" w:rsidR="004B7DB9" w:rsidRDefault="003C653D" w:rsidP="00417F3B">
      <w:pPr>
        <w:spacing w:after="0" w:line="240" w:lineRule="auto"/>
        <w:ind w:left="426" w:right="5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attesa delle determinazioni Presi</w:t>
      </w:r>
      <w:r w:rsidR="00BD1703">
        <w:rPr>
          <w:rFonts w:ascii="Times New Roman" w:hAnsi="Times New Roman" w:cs="Times New Roman"/>
          <w:sz w:val="28"/>
          <w:szCs w:val="28"/>
        </w:rPr>
        <w:t xml:space="preserve">denziali sulla richiesta di assegnazione di ulteriore giudice GOP alla Sezione, </w:t>
      </w:r>
      <w:r w:rsidR="004B7DB9">
        <w:rPr>
          <w:rFonts w:ascii="Times New Roman" w:hAnsi="Times New Roman" w:cs="Times New Roman"/>
          <w:sz w:val="28"/>
          <w:szCs w:val="28"/>
        </w:rPr>
        <w:t>SI DISPONE quanto segue:</w:t>
      </w:r>
    </w:p>
    <w:p w14:paraId="753EBEE9" w14:textId="77777777" w:rsidR="00D27C74" w:rsidRDefault="004B7DB9" w:rsidP="00417F3B">
      <w:pPr>
        <w:pStyle w:val="Paragrafoelenco"/>
        <w:numPr>
          <w:ilvl w:val="0"/>
          <w:numId w:val="1"/>
        </w:num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471AAC">
        <w:rPr>
          <w:rFonts w:ascii="Times New Roman" w:hAnsi="Times New Roman" w:cs="Times New Roman"/>
          <w:sz w:val="28"/>
          <w:szCs w:val="28"/>
        </w:rPr>
        <w:t xml:space="preserve">o schema di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BC50F1">
        <w:rPr>
          <w:rFonts w:ascii="Times New Roman" w:hAnsi="Times New Roman" w:cs="Times New Roman"/>
          <w:sz w:val="28"/>
          <w:szCs w:val="28"/>
        </w:rPr>
        <w:t>assegnazioni</w:t>
      </w:r>
      <w:r>
        <w:rPr>
          <w:rFonts w:ascii="Times New Roman" w:hAnsi="Times New Roman" w:cs="Times New Roman"/>
          <w:sz w:val="28"/>
          <w:szCs w:val="28"/>
        </w:rPr>
        <w:t xml:space="preserve"> dei procedimenti di EM e PPT di cui alla VTU 29/2024 viene temporaneamente modificato come segue  fino al 30.9.2025</w:t>
      </w:r>
      <w:r w:rsidR="00D27C74">
        <w:rPr>
          <w:rFonts w:ascii="Times New Roman" w:hAnsi="Times New Roman" w:cs="Times New Roman"/>
          <w:sz w:val="28"/>
          <w:szCs w:val="28"/>
        </w:rPr>
        <w:t>:</w:t>
      </w:r>
    </w:p>
    <w:p w14:paraId="66D4D23C" w14:textId="620858AD" w:rsidR="004B7DB9" w:rsidRDefault="004B7DB9" w:rsidP="00417F3B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8"/>
        <w:gridCol w:w="577"/>
        <w:gridCol w:w="576"/>
        <w:gridCol w:w="576"/>
        <w:gridCol w:w="576"/>
        <w:gridCol w:w="576"/>
        <w:gridCol w:w="1257"/>
        <w:gridCol w:w="893"/>
        <w:gridCol w:w="1059"/>
        <w:gridCol w:w="1257"/>
        <w:gridCol w:w="893"/>
      </w:tblGrid>
      <w:tr w:rsidR="00E80A80" w:rsidRPr="00E80A80" w14:paraId="02F6936B" w14:textId="77777777" w:rsidTr="00E80A80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D86C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TURNO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175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it-IT"/>
              </w:rPr>
              <w:t>ASSEGNAZIONE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7E27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5DEE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368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4E7E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D14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51EB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80A80" w:rsidRPr="00E80A80" w14:paraId="4B6237D5" w14:textId="77777777" w:rsidTr="00E80A8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AB1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AMBROSINO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C9255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6A30B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9A083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F67F3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F3D57B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1ACD2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5FC5A9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EC846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60436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C8333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10</w:t>
            </w:r>
          </w:p>
        </w:tc>
      </w:tr>
      <w:tr w:rsidR="00E80A80" w:rsidRPr="00E80A80" w14:paraId="65F5952C" w14:textId="77777777" w:rsidTr="00E80A80">
        <w:trPr>
          <w:trHeight w:val="6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4CD69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BALBA (ruolo Gastaldo)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D48DF41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FA99D99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90FE062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11FD55C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D490862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8E6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Ambrosino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1C76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Balba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E410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Mauceri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3C4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Ambrosino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5AC1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Balba</w:t>
            </w:r>
          </w:p>
        </w:tc>
      </w:tr>
      <w:tr w:rsidR="00E80A80" w:rsidRPr="00E80A80" w14:paraId="4AE9689D" w14:textId="77777777" w:rsidTr="00E80A8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AAE1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 xml:space="preserve">MAUCERI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7030CF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0D6271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8682D0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551F7B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A59B2E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3F2A52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477A3D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0291F98" w14:textId="77777777" w:rsidR="00E80A80" w:rsidRPr="00E80A80" w:rsidRDefault="00E80A80" w:rsidP="00417F3B">
            <w:pPr>
              <w:spacing w:after="0" w:line="240" w:lineRule="auto"/>
              <w:ind w:left="426"/>
              <w:jc w:val="right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F537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 xml:space="preserve">Mauceri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2782" w14:textId="77777777" w:rsidR="00E80A80" w:rsidRPr="00E80A80" w:rsidRDefault="00E80A80" w:rsidP="00417F3B">
            <w:pPr>
              <w:spacing w:after="0" w:line="240" w:lineRule="auto"/>
              <w:ind w:left="426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E80A8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Balba</w:t>
            </w:r>
          </w:p>
        </w:tc>
      </w:tr>
    </w:tbl>
    <w:p w14:paraId="0D9243CE" w14:textId="77777777" w:rsidR="004B7DB9" w:rsidRPr="00620F80" w:rsidRDefault="004B7DB9" w:rsidP="00417F3B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36B495C5" w14:textId="64D46AA7" w:rsidR="004B7DB9" w:rsidRPr="00A41ECF" w:rsidRDefault="004B7DB9" w:rsidP="00417F3B">
      <w:pPr>
        <w:pStyle w:val="Paragrafoelenco"/>
        <w:numPr>
          <w:ilvl w:val="0"/>
          <w:numId w:val="1"/>
        </w:num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Pr="00A41ECF">
        <w:rPr>
          <w:rFonts w:ascii="Times New Roman" w:hAnsi="Times New Roman" w:cs="Times New Roman"/>
          <w:sz w:val="28"/>
          <w:szCs w:val="28"/>
        </w:rPr>
        <w:t xml:space="preserve"> </w:t>
      </w:r>
      <w:r w:rsidR="00BC50F1" w:rsidRPr="00A41ECF">
        <w:rPr>
          <w:rFonts w:ascii="Times New Roman" w:hAnsi="Times New Roman" w:cs="Times New Roman"/>
          <w:sz w:val="28"/>
          <w:szCs w:val="28"/>
        </w:rPr>
        <w:t>assegnazioni</w:t>
      </w:r>
      <w:r w:rsidRPr="00A41ECF">
        <w:rPr>
          <w:rFonts w:ascii="Times New Roman" w:hAnsi="Times New Roman" w:cs="Times New Roman"/>
          <w:sz w:val="28"/>
          <w:szCs w:val="28"/>
        </w:rPr>
        <w:t xml:space="preserve"> alla dr.ssa </w:t>
      </w:r>
      <w:r w:rsidR="003C653D">
        <w:rPr>
          <w:rFonts w:ascii="Times New Roman" w:hAnsi="Times New Roman" w:cs="Times New Roman"/>
          <w:sz w:val="28"/>
          <w:szCs w:val="28"/>
        </w:rPr>
        <w:t>GA</w:t>
      </w:r>
      <w:r w:rsidRPr="00A41ECF">
        <w:rPr>
          <w:rFonts w:ascii="Times New Roman" w:hAnsi="Times New Roman" w:cs="Times New Roman"/>
          <w:sz w:val="28"/>
          <w:szCs w:val="28"/>
        </w:rPr>
        <w:t xml:space="preserve">STALDO </w:t>
      </w:r>
      <w:r>
        <w:rPr>
          <w:rFonts w:ascii="Times New Roman" w:hAnsi="Times New Roman" w:cs="Times New Roman"/>
          <w:sz w:val="28"/>
          <w:szCs w:val="28"/>
        </w:rPr>
        <w:t xml:space="preserve">sono sospese </w:t>
      </w:r>
      <w:r w:rsidRPr="00A41ECF">
        <w:rPr>
          <w:rFonts w:ascii="Times New Roman" w:hAnsi="Times New Roman" w:cs="Times New Roman"/>
          <w:sz w:val="28"/>
          <w:szCs w:val="28"/>
        </w:rPr>
        <w:t>fino a tutto il 30.9.2025, salvo successiva verifica a tale data delle pendenze individuali;</w:t>
      </w:r>
    </w:p>
    <w:p w14:paraId="48E27803" w14:textId="76D4701E" w:rsidR="004B7DB9" w:rsidRDefault="004B7DB9" w:rsidP="00417F3B">
      <w:pPr>
        <w:pStyle w:val="Paragrafoelenco"/>
        <w:numPr>
          <w:ilvl w:val="0"/>
          <w:numId w:val="1"/>
        </w:num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dr. BALBA tratterà le EM e PPT già assegnati alla GOP Avv. CONTI e da quest’ultima fissati per udienze posteriori al 3 giugno p.v.</w:t>
      </w:r>
      <w:r w:rsidR="00F22D7E">
        <w:rPr>
          <w:rFonts w:ascii="Times New Roman" w:hAnsi="Times New Roman" w:cs="Times New Roman"/>
          <w:sz w:val="28"/>
          <w:szCs w:val="28"/>
        </w:rPr>
        <w:t>;</w:t>
      </w:r>
    </w:p>
    <w:p w14:paraId="3C51AF29" w14:textId="2BA8E993" w:rsidR="00F22D7E" w:rsidRDefault="00FB3374" w:rsidP="00417F3B">
      <w:pPr>
        <w:pStyle w:val="Paragrafoelenco"/>
        <w:numPr>
          <w:ilvl w:val="0"/>
          <w:numId w:val="1"/>
        </w:num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 assegnazi</w:t>
      </w:r>
      <w:r w:rsidR="007815E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ni al dr. BALBA di </w:t>
      </w:r>
      <w:r w:rsidR="007815E6">
        <w:rPr>
          <w:rFonts w:ascii="Times New Roman" w:hAnsi="Times New Roman" w:cs="Times New Roman"/>
          <w:sz w:val="28"/>
          <w:szCs w:val="28"/>
        </w:rPr>
        <w:t xml:space="preserve">nuovi </w:t>
      </w:r>
      <w:r>
        <w:rPr>
          <w:rFonts w:ascii="Times New Roman" w:hAnsi="Times New Roman" w:cs="Times New Roman"/>
          <w:sz w:val="28"/>
          <w:szCs w:val="28"/>
        </w:rPr>
        <w:t>procedimenti concorsuali</w:t>
      </w:r>
      <w:r w:rsidR="007815E6">
        <w:rPr>
          <w:rFonts w:ascii="Times New Roman" w:hAnsi="Times New Roman" w:cs="Times New Roman"/>
          <w:sz w:val="28"/>
          <w:szCs w:val="28"/>
        </w:rPr>
        <w:t xml:space="preserve"> </w:t>
      </w:r>
      <w:r w:rsidR="00C01E18">
        <w:rPr>
          <w:rFonts w:ascii="Times New Roman" w:hAnsi="Times New Roman" w:cs="Times New Roman"/>
          <w:sz w:val="28"/>
          <w:szCs w:val="28"/>
        </w:rPr>
        <w:t xml:space="preserve">vengono ridotte </w:t>
      </w:r>
      <w:r w:rsidR="007815E6">
        <w:rPr>
          <w:rFonts w:ascii="Times New Roman" w:hAnsi="Times New Roman" w:cs="Times New Roman"/>
          <w:sz w:val="28"/>
          <w:szCs w:val="28"/>
        </w:rPr>
        <w:t>d</w:t>
      </w:r>
      <w:r w:rsidR="006E0892">
        <w:rPr>
          <w:rFonts w:ascii="Times New Roman" w:hAnsi="Times New Roman" w:cs="Times New Roman"/>
          <w:sz w:val="28"/>
          <w:szCs w:val="28"/>
        </w:rPr>
        <w:t>el 20%</w:t>
      </w:r>
      <w:r w:rsidR="007815E6">
        <w:rPr>
          <w:rFonts w:ascii="Times New Roman" w:hAnsi="Times New Roman" w:cs="Times New Roman"/>
          <w:sz w:val="28"/>
          <w:szCs w:val="28"/>
        </w:rPr>
        <w:t xml:space="preserve"> fino a tutto il 30.9.2025</w:t>
      </w:r>
      <w:r w:rsidR="00BC0AFA">
        <w:rPr>
          <w:rFonts w:ascii="Times New Roman" w:hAnsi="Times New Roman" w:cs="Times New Roman"/>
          <w:sz w:val="28"/>
          <w:szCs w:val="28"/>
        </w:rPr>
        <w:t>;</w:t>
      </w:r>
    </w:p>
    <w:p w14:paraId="7575B995" w14:textId="51143982" w:rsidR="00BC0AFA" w:rsidRDefault="00BC0AFA" w:rsidP="00417F3B">
      <w:pPr>
        <w:pStyle w:val="Paragrafoelenco"/>
        <w:numPr>
          <w:ilvl w:val="0"/>
          <w:numId w:val="1"/>
        </w:numPr>
        <w:spacing w:after="0"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sospensione del</w:t>
      </w:r>
      <w:r w:rsidR="00E61E20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assegn</w:t>
      </w:r>
      <w:r w:rsidR="00E61E2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zi</w:t>
      </w:r>
      <w:r w:rsidR="00E61E20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ni </w:t>
      </w:r>
      <w:r w:rsidR="00EA38D1">
        <w:rPr>
          <w:rFonts w:ascii="Times New Roman" w:hAnsi="Times New Roman" w:cs="Times New Roman"/>
          <w:sz w:val="28"/>
          <w:szCs w:val="28"/>
        </w:rPr>
        <w:t>immobiliari</w:t>
      </w:r>
      <w:r w:rsidR="00E61E20">
        <w:rPr>
          <w:rFonts w:ascii="Times New Roman" w:hAnsi="Times New Roman" w:cs="Times New Roman"/>
          <w:sz w:val="28"/>
          <w:szCs w:val="28"/>
        </w:rPr>
        <w:t xml:space="preserve"> </w:t>
      </w:r>
      <w:r w:rsidR="00EA38D1">
        <w:rPr>
          <w:rFonts w:ascii="Times New Roman" w:hAnsi="Times New Roman" w:cs="Times New Roman"/>
          <w:sz w:val="28"/>
          <w:szCs w:val="28"/>
        </w:rPr>
        <w:t xml:space="preserve">al dr. SPERA, di cui alla D.O. n. 5 </w:t>
      </w:r>
      <w:r w:rsidR="00E61E20">
        <w:rPr>
          <w:rFonts w:ascii="Times New Roman" w:hAnsi="Times New Roman" w:cs="Times New Roman"/>
          <w:sz w:val="28"/>
          <w:szCs w:val="28"/>
        </w:rPr>
        <w:t>del 30.4.2025, si estenderà fino al 30.9 p.v.</w:t>
      </w:r>
    </w:p>
    <w:p w14:paraId="09236CC6" w14:textId="77777777" w:rsidR="000448DC" w:rsidRPr="007401C4" w:rsidRDefault="000448DC" w:rsidP="00417F3B">
      <w:pPr>
        <w:spacing w:line="240" w:lineRule="auto"/>
        <w:ind w:left="426" w:right="566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26F176" w14:textId="77777777" w:rsidR="000448DC" w:rsidRDefault="000448DC" w:rsidP="00417F3B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44BE8157" w:rsidR="000448DC" w:rsidRDefault="00755A68" w:rsidP="00417F3B">
      <w:pPr>
        <w:spacing w:line="240" w:lineRule="auto"/>
        <w:ind w:left="426"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Roberto</w:t>
      </w:r>
      <w:r w:rsidR="000448DC">
        <w:rPr>
          <w:rFonts w:ascii="Times New Roman" w:hAnsi="Times New Roman"/>
          <w:sz w:val="24"/>
          <w:szCs w:val="24"/>
        </w:rPr>
        <w:t xml:space="preserve"> Braccialini</w:t>
      </w:r>
    </w:p>
    <w:p w14:paraId="0E8180EA" w14:textId="0252869C" w:rsidR="00A27B06" w:rsidRPr="00DF57C3" w:rsidRDefault="0064451A" w:rsidP="00417F3B">
      <w:pPr>
        <w:spacing w:line="240" w:lineRule="auto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CD71D9" wp14:editId="2648EC82">
            <wp:extent cx="1989734" cy="914400"/>
            <wp:effectExtent l="0" t="0" r="0" b="0"/>
            <wp:docPr id="636392719" name="Immagine 1" descr="Immagine che contiene calligrafia, disegno, schizzo, 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92719" name="Immagine 1" descr="Immagine che contiene calligrafia, disegno, schizzo, graffit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373" cy="91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B06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A2F91"/>
    <w:multiLevelType w:val="hybridMultilevel"/>
    <w:tmpl w:val="AC76CF68"/>
    <w:lvl w:ilvl="0" w:tplc="431ACB3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3" w:hanging="360"/>
      </w:pPr>
    </w:lvl>
    <w:lvl w:ilvl="2" w:tplc="0410001B" w:tentative="1">
      <w:start w:val="1"/>
      <w:numFmt w:val="lowerRoman"/>
      <w:lvlText w:val="%3."/>
      <w:lvlJc w:val="right"/>
      <w:pPr>
        <w:ind w:left="2583" w:hanging="180"/>
      </w:pPr>
    </w:lvl>
    <w:lvl w:ilvl="3" w:tplc="0410000F" w:tentative="1">
      <w:start w:val="1"/>
      <w:numFmt w:val="decimal"/>
      <w:lvlText w:val="%4."/>
      <w:lvlJc w:val="left"/>
      <w:pPr>
        <w:ind w:left="3303" w:hanging="360"/>
      </w:pPr>
    </w:lvl>
    <w:lvl w:ilvl="4" w:tplc="04100019" w:tentative="1">
      <w:start w:val="1"/>
      <w:numFmt w:val="lowerLetter"/>
      <w:lvlText w:val="%5."/>
      <w:lvlJc w:val="left"/>
      <w:pPr>
        <w:ind w:left="4023" w:hanging="360"/>
      </w:pPr>
    </w:lvl>
    <w:lvl w:ilvl="5" w:tplc="0410001B" w:tentative="1">
      <w:start w:val="1"/>
      <w:numFmt w:val="lowerRoman"/>
      <w:lvlText w:val="%6."/>
      <w:lvlJc w:val="right"/>
      <w:pPr>
        <w:ind w:left="4743" w:hanging="180"/>
      </w:pPr>
    </w:lvl>
    <w:lvl w:ilvl="6" w:tplc="0410000F" w:tentative="1">
      <w:start w:val="1"/>
      <w:numFmt w:val="decimal"/>
      <w:lvlText w:val="%7."/>
      <w:lvlJc w:val="left"/>
      <w:pPr>
        <w:ind w:left="5463" w:hanging="360"/>
      </w:pPr>
    </w:lvl>
    <w:lvl w:ilvl="7" w:tplc="04100019" w:tentative="1">
      <w:start w:val="1"/>
      <w:numFmt w:val="lowerLetter"/>
      <w:lvlText w:val="%8."/>
      <w:lvlJc w:val="left"/>
      <w:pPr>
        <w:ind w:left="6183" w:hanging="360"/>
      </w:pPr>
    </w:lvl>
    <w:lvl w:ilvl="8" w:tplc="0410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134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D6"/>
    <w:rsid w:val="0004158A"/>
    <w:rsid w:val="000448DC"/>
    <w:rsid w:val="000C7EC1"/>
    <w:rsid w:val="00136C51"/>
    <w:rsid w:val="00151BDF"/>
    <w:rsid w:val="001652EE"/>
    <w:rsid w:val="001933D1"/>
    <w:rsid w:val="002A33AA"/>
    <w:rsid w:val="002B12DB"/>
    <w:rsid w:val="002E0AC1"/>
    <w:rsid w:val="00321D90"/>
    <w:rsid w:val="00333786"/>
    <w:rsid w:val="0039042F"/>
    <w:rsid w:val="00392052"/>
    <w:rsid w:val="003C653D"/>
    <w:rsid w:val="00417F3B"/>
    <w:rsid w:val="00471AAC"/>
    <w:rsid w:val="004B7DB9"/>
    <w:rsid w:val="004E1601"/>
    <w:rsid w:val="004F4F66"/>
    <w:rsid w:val="00544223"/>
    <w:rsid w:val="006251E1"/>
    <w:rsid w:val="0064451A"/>
    <w:rsid w:val="006E0892"/>
    <w:rsid w:val="006E2355"/>
    <w:rsid w:val="007401C4"/>
    <w:rsid w:val="00755A68"/>
    <w:rsid w:val="007815E6"/>
    <w:rsid w:val="007D42D6"/>
    <w:rsid w:val="007F7EAD"/>
    <w:rsid w:val="008772D0"/>
    <w:rsid w:val="008B7E68"/>
    <w:rsid w:val="008D5AA6"/>
    <w:rsid w:val="009C3DBB"/>
    <w:rsid w:val="00A15A44"/>
    <w:rsid w:val="00A27B06"/>
    <w:rsid w:val="00A8404E"/>
    <w:rsid w:val="00B42A8A"/>
    <w:rsid w:val="00BA695C"/>
    <w:rsid w:val="00BC0AFA"/>
    <w:rsid w:val="00BC50F1"/>
    <w:rsid w:val="00BD1703"/>
    <w:rsid w:val="00C01E18"/>
    <w:rsid w:val="00C161C5"/>
    <w:rsid w:val="00C34782"/>
    <w:rsid w:val="00D27C74"/>
    <w:rsid w:val="00DD2E55"/>
    <w:rsid w:val="00DF57C3"/>
    <w:rsid w:val="00E16F2D"/>
    <w:rsid w:val="00E61E20"/>
    <w:rsid w:val="00E80A80"/>
    <w:rsid w:val="00EA38D1"/>
    <w:rsid w:val="00F22D7E"/>
    <w:rsid w:val="00F55254"/>
    <w:rsid w:val="00F81313"/>
    <w:rsid w:val="00F8272B"/>
    <w:rsid w:val="00F914BE"/>
    <w:rsid w:val="00FB3374"/>
    <w:rsid w:val="00FB7EF3"/>
    <w:rsid w:val="00F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DB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73FA0-2247-4AA4-854E-B7D23EDD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Fabrizia Salina</cp:lastModifiedBy>
  <cp:revision>2</cp:revision>
  <dcterms:created xsi:type="dcterms:W3CDTF">2025-06-18T07:42:00Z</dcterms:created>
  <dcterms:modified xsi:type="dcterms:W3CDTF">2025-06-18T07:42:00Z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